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4"/>
        <w:gridCol w:w="1160"/>
        <w:gridCol w:w="4151"/>
      </w:tblGrid>
      <w:tr w:rsidR="0067768C" w:rsidTr="00171587">
        <w:tc>
          <w:tcPr>
            <w:tcW w:w="4219" w:type="dxa"/>
          </w:tcPr>
          <w:p w:rsidR="0067768C" w:rsidRDefault="0067768C" w:rsidP="001715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68C" w:rsidRDefault="0067768C" w:rsidP="001715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68C" w:rsidRPr="002C13C1" w:rsidRDefault="0067768C" w:rsidP="001715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67768C" w:rsidRPr="002C13C1" w:rsidRDefault="0067768C" w:rsidP="001715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7768C" w:rsidRPr="002C13C1" w:rsidRDefault="0067768C" w:rsidP="001715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Селенгинский</w:t>
            </w: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</w:p>
          <w:p w:rsidR="0067768C" w:rsidRPr="002C13C1" w:rsidRDefault="0067768C" w:rsidP="001715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160" w:type="dxa"/>
          </w:tcPr>
          <w:p w:rsidR="0067768C" w:rsidRPr="002C13C1" w:rsidRDefault="0067768C" w:rsidP="001715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3916D6" wp14:editId="292DC23F">
                  <wp:extent cx="580331" cy="689929"/>
                  <wp:effectExtent l="19050" t="0" r="0" b="0"/>
                  <wp:docPr id="12" name="Рисунок 19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701" cy="73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67768C" w:rsidRDefault="0067768C" w:rsidP="001715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768C" w:rsidRDefault="0067768C" w:rsidP="001715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768C" w:rsidRPr="0037577D" w:rsidRDefault="0067768C" w:rsidP="001715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:rsidR="0067768C" w:rsidRPr="0037577D" w:rsidRDefault="0067768C" w:rsidP="001715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Сэлэнгын</w:t>
            </w:r>
            <w:proofErr w:type="spellEnd"/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:rsidR="0067768C" w:rsidRPr="002C13C1" w:rsidRDefault="0067768C" w:rsidP="001715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:rsidR="0067768C" w:rsidRDefault="0067768C" w:rsidP="0067768C">
      <w:pPr>
        <w:pBdr>
          <w:top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ул. Пушкина, 12, г. Гусиноозерск, Селенгинский район, Республики Бурятия,671160</w:t>
      </w:r>
    </w:p>
    <w:p w:rsidR="0067768C" w:rsidRDefault="0067768C" w:rsidP="0067768C">
      <w:pPr>
        <w:pBdr>
          <w:top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тел.8(30145) 41-2-87, 41-2-81, факс:</w:t>
      </w:r>
      <w:r w:rsidRPr="00A834B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8(30145) 41-2-87</w:t>
      </w:r>
    </w:p>
    <w:p w:rsidR="0067768C" w:rsidRPr="006D1D87" w:rsidRDefault="0067768C" w:rsidP="0067768C">
      <w:pPr>
        <w:pBdr>
          <w:top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34B7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30683">
        <w:rPr>
          <w:rFonts w:ascii="Times New Roman" w:hAnsi="Times New Roman" w:cs="Times New Roman"/>
          <w:sz w:val="18"/>
          <w:szCs w:val="18"/>
        </w:rPr>
        <w:t>-</w:t>
      </w:r>
      <w:r w:rsidRPr="00A834B7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30683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23596">
        <w:rPr>
          <w:rFonts w:ascii="Times New Roman" w:hAnsi="Times New Roman" w:cs="Times New Roman"/>
          <w:sz w:val="18"/>
          <w:szCs w:val="18"/>
          <w:lang w:val="en-US"/>
        </w:rPr>
        <w:t>admsel</w:t>
      </w:r>
      <w:proofErr w:type="spellEnd"/>
      <w:r w:rsidRPr="00D23596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Pr="00D23596">
        <w:rPr>
          <w:rFonts w:ascii="Times New Roman" w:hAnsi="Times New Roman" w:cs="Times New Roman"/>
          <w:sz w:val="18"/>
          <w:szCs w:val="18"/>
          <w:lang w:val="en-US"/>
        </w:rPr>
        <w:t>govrb</w:t>
      </w:r>
      <w:proofErr w:type="spellEnd"/>
      <w:r w:rsidRPr="00D23596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D23596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67768C" w:rsidRDefault="0067768C" w:rsidP="0067768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768C" w:rsidRDefault="00D72A19" w:rsidP="0067768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67768C" w:rsidRDefault="0067768C" w:rsidP="0067768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руководителя Администрации </w:t>
      </w:r>
    </w:p>
    <w:p w:rsidR="0067768C" w:rsidRDefault="0067768C" w:rsidP="0067768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МО «Селенгинский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экономическим </w:t>
      </w:r>
    </w:p>
    <w:p w:rsidR="0067768C" w:rsidRDefault="0067768C" w:rsidP="0067768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вопросам, 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8E626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</w:p>
    <w:p w:rsidR="0067768C" w:rsidRDefault="0067768C" w:rsidP="0067768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содействию развитию конкуренции в </w:t>
      </w:r>
    </w:p>
    <w:p w:rsidR="0067768C" w:rsidRDefault="0067768C" w:rsidP="0067768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«Селенгинский район»</w:t>
      </w:r>
    </w:p>
    <w:p w:rsidR="0067768C" w:rsidRDefault="0067768C" w:rsidP="0067768C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___________Ф.Г. Забелкина</w:t>
      </w:r>
    </w:p>
    <w:p w:rsidR="0067768C" w:rsidRDefault="0067768C" w:rsidP="006776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68C" w:rsidRPr="00FC6E07" w:rsidRDefault="0067768C" w:rsidP="0067768C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67768C" w:rsidRDefault="0067768C" w:rsidP="00677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содействию развитию конкуренции в</w:t>
      </w:r>
    </w:p>
    <w:p w:rsidR="0067768C" w:rsidRDefault="0067768C" w:rsidP="00677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«Селенгинский район»</w:t>
      </w:r>
    </w:p>
    <w:p w:rsidR="0067768C" w:rsidRPr="00FC6E07" w:rsidRDefault="0067768C" w:rsidP="0067768C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68C" w:rsidRPr="00FC6E07" w:rsidRDefault="0067768C" w:rsidP="0067768C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68C" w:rsidRPr="00FC6E07" w:rsidRDefault="0067768C" w:rsidP="00677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6E07">
        <w:rPr>
          <w:rFonts w:ascii="Times New Roman" w:hAnsi="Times New Roman" w:cs="Times New Roman"/>
          <w:sz w:val="28"/>
          <w:szCs w:val="28"/>
        </w:rPr>
        <w:t xml:space="preserve">г. Гусиноозерск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6E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30 ноября </w:t>
      </w:r>
      <w:r w:rsidRPr="00FC6E0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 г.</w:t>
      </w:r>
    </w:p>
    <w:p w:rsidR="0067768C" w:rsidRPr="00FC6E07" w:rsidRDefault="0067768C" w:rsidP="0067768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7768C" w:rsidRDefault="0067768C" w:rsidP="0067768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="00AA4B76">
        <w:rPr>
          <w:rFonts w:ascii="Times New Roman" w:hAnsi="Times New Roman" w:cs="Times New Roman"/>
          <w:sz w:val="28"/>
          <w:szCs w:val="28"/>
        </w:rPr>
        <w:t xml:space="preserve"> </w:t>
      </w:r>
      <w:r w:rsidR="00AA4B76" w:rsidRPr="00AA4B76">
        <w:rPr>
          <w:rFonts w:ascii="Times New Roman" w:hAnsi="Times New Roman" w:cs="Times New Roman"/>
          <w:b/>
          <w:sz w:val="28"/>
          <w:szCs w:val="28"/>
        </w:rPr>
        <w:t>-</w:t>
      </w:r>
      <w:r w:rsidRPr="00AA4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C4B">
        <w:rPr>
          <w:rFonts w:ascii="Times New Roman" w:hAnsi="Times New Roman" w:cs="Times New Roman"/>
          <w:sz w:val="28"/>
          <w:szCs w:val="28"/>
        </w:rPr>
        <w:t xml:space="preserve">Забелкина Ф.Г. - Заместитель Руководителя Администрации МО «Селенгинский район» по экономическим вопросам. </w:t>
      </w:r>
    </w:p>
    <w:p w:rsidR="0067768C" w:rsidRDefault="0067768C" w:rsidP="006776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 w:rsidRPr="00AA4B7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Очирова Э.З. – Консультант Комитета по планированию, экономическому развитию и туризму Администрации МО «Селенгинский район».</w:t>
      </w:r>
    </w:p>
    <w:p w:rsidR="0067768C" w:rsidRPr="00B94C4B" w:rsidRDefault="0067768C" w:rsidP="0067768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 xml:space="preserve">Присутствуют: </w:t>
      </w:r>
    </w:p>
    <w:p w:rsidR="0067768C" w:rsidRPr="00FC6E07" w:rsidRDefault="0067768C" w:rsidP="006776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 Савельев А.А., Калашникова Т.Г.,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Лумбунов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Н.Р., кво</w:t>
      </w:r>
      <w:r w:rsidRPr="00FC6E07">
        <w:rPr>
          <w:rFonts w:ascii="Times New Roman" w:hAnsi="Times New Roman" w:cs="Times New Roman"/>
          <w:sz w:val="28"/>
          <w:szCs w:val="28"/>
        </w:rPr>
        <w:t>рум имеется.</w:t>
      </w:r>
    </w:p>
    <w:p w:rsidR="0067768C" w:rsidRPr="00FC6E07" w:rsidRDefault="0067768C" w:rsidP="0067768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7768C" w:rsidRPr="00FC6E07" w:rsidRDefault="0067768C" w:rsidP="0067768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67768C" w:rsidRDefault="0067768C" w:rsidP="0067768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sz w:val="28"/>
          <w:szCs w:val="28"/>
        </w:rPr>
        <w:t xml:space="preserve">1. </w:t>
      </w:r>
      <w:r w:rsidR="00AF223D">
        <w:rPr>
          <w:rFonts w:ascii="Times New Roman" w:hAnsi="Times New Roman" w:cs="Times New Roman"/>
          <w:sz w:val="28"/>
          <w:szCs w:val="28"/>
        </w:rPr>
        <w:t>Об утверждении ключевых показателей эффективности антимонопольного комплаенса Администрации МО «Селенгинский район»</w:t>
      </w:r>
      <w:r w:rsidR="00AF223D">
        <w:rPr>
          <w:rFonts w:ascii="Times New Roman" w:hAnsi="Times New Roman" w:cs="Times New Roman"/>
          <w:sz w:val="28"/>
          <w:szCs w:val="28"/>
        </w:rPr>
        <w:t xml:space="preserve"> на 2023 год;</w:t>
      </w:r>
    </w:p>
    <w:p w:rsidR="009560BA" w:rsidRPr="009560BA" w:rsidRDefault="009560BA" w:rsidP="0067768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560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223D" w:rsidRPr="009560BA">
        <w:rPr>
          <w:rFonts w:ascii="Times New Roman" w:hAnsi="Times New Roman" w:cs="Times New Roman"/>
          <w:sz w:val="28"/>
          <w:szCs w:val="28"/>
        </w:rPr>
        <w:t>О рассмотрении и утверждении Постановления Администрации Муниципального образования «Селенгинский район» от 28.11.2022 года №1044 «О содействии развития конкуренции в муниципальном образовании «Селенгинский район»</w:t>
      </w:r>
      <w:r w:rsidR="00AF223D">
        <w:rPr>
          <w:rFonts w:ascii="Times New Roman" w:hAnsi="Times New Roman" w:cs="Times New Roman"/>
          <w:sz w:val="28"/>
          <w:szCs w:val="28"/>
        </w:rPr>
        <w:t>.</w:t>
      </w:r>
    </w:p>
    <w:p w:rsidR="0067768C" w:rsidRDefault="0067768C" w:rsidP="0067768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7768C" w:rsidRDefault="0067768C" w:rsidP="0067768C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РЕШИЛИ:</w:t>
      </w:r>
    </w:p>
    <w:p w:rsidR="0067768C" w:rsidRDefault="0067768C" w:rsidP="0067768C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По первому вопросу:</w:t>
      </w:r>
    </w:p>
    <w:p w:rsidR="00AF223D" w:rsidRPr="00AF223D" w:rsidRDefault="00C409E4" w:rsidP="0067768C">
      <w:pPr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1.1. Утвердить ключевые показатели эффективности </w:t>
      </w:r>
      <w:r>
        <w:rPr>
          <w:rFonts w:ascii="Times New Roman" w:hAnsi="Times New Roman" w:cs="Times New Roman"/>
          <w:sz w:val="28"/>
          <w:szCs w:val="28"/>
        </w:rPr>
        <w:t>антимонопольного комплаенса Администрации МО «Селенгинский район» на 2023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приложению №1 к настоящему протоколу.</w:t>
      </w:r>
    </w:p>
    <w:p w:rsidR="00AF223D" w:rsidRDefault="00AF223D" w:rsidP="0067768C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</w:p>
    <w:p w:rsidR="00AF223D" w:rsidRDefault="00AF223D" w:rsidP="0067768C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По второму вопросу:</w:t>
      </w:r>
    </w:p>
    <w:p w:rsidR="0067768C" w:rsidRDefault="00AF223D" w:rsidP="0044247E">
      <w:pPr>
        <w:ind w:firstLine="709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67768C">
        <w:rPr>
          <w:rFonts w:ascii="Times New Roman" w:hAnsi="Times New Roman" w:cs="Times New Roman"/>
          <w:sz w:val="28"/>
          <w:szCs w:val="24"/>
        </w:rPr>
        <w:t xml:space="preserve">.1. </w:t>
      </w:r>
      <w:r w:rsidR="0067768C" w:rsidRPr="00F9611C">
        <w:rPr>
          <w:rFonts w:ascii="Times New Roman" w:hAnsi="Times New Roman" w:cs="Times New Roman"/>
          <w:bCs/>
          <w:sz w:val="28"/>
          <w:szCs w:val="28"/>
        </w:rPr>
        <w:t>Принять информацию к сведению.</w:t>
      </w:r>
    </w:p>
    <w:p w:rsidR="0067768C" w:rsidRDefault="00AF223D" w:rsidP="00AF223D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768C">
        <w:rPr>
          <w:rFonts w:ascii="Times New Roman" w:hAnsi="Times New Roman" w:cs="Times New Roman"/>
          <w:sz w:val="28"/>
          <w:szCs w:val="28"/>
        </w:rPr>
        <w:t>.2.</w:t>
      </w:r>
      <w:r w:rsidR="006776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768C" w:rsidRPr="000153EC">
        <w:rPr>
          <w:rFonts w:ascii="Times New Roman" w:hAnsi="Times New Roman" w:cs="Times New Roman"/>
          <w:sz w:val="28"/>
          <w:szCs w:val="28"/>
        </w:rPr>
        <w:t>Начальнику отдела информационного обеспечения (Доржиеву Ц.-Д.Б.)</w:t>
      </w:r>
      <w:r w:rsidR="0067768C">
        <w:rPr>
          <w:rFonts w:ascii="Times New Roman" w:hAnsi="Times New Roman" w:cs="Times New Roman"/>
          <w:sz w:val="28"/>
          <w:szCs w:val="28"/>
        </w:rPr>
        <w:t xml:space="preserve"> р</w:t>
      </w:r>
      <w:r w:rsidR="0067768C" w:rsidRPr="00F9611C">
        <w:rPr>
          <w:rFonts w:ascii="Times New Roman" w:hAnsi="Times New Roman" w:cs="Times New Roman"/>
          <w:bCs/>
          <w:sz w:val="28"/>
          <w:szCs w:val="28"/>
        </w:rPr>
        <w:t>азместить на официальном сайте Администрации МО «</w:t>
      </w:r>
      <w:r w:rsidR="0067768C">
        <w:rPr>
          <w:rFonts w:ascii="Times New Roman" w:hAnsi="Times New Roman" w:cs="Times New Roman"/>
          <w:bCs/>
          <w:sz w:val="28"/>
          <w:szCs w:val="28"/>
        </w:rPr>
        <w:t>С</w:t>
      </w:r>
      <w:r w:rsidR="0067768C" w:rsidRPr="00F9611C">
        <w:rPr>
          <w:rFonts w:ascii="Times New Roman" w:hAnsi="Times New Roman" w:cs="Times New Roman"/>
          <w:bCs/>
          <w:sz w:val="28"/>
          <w:szCs w:val="28"/>
        </w:rPr>
        <w:t>еленгинский район»</w:t>
      </w:r>
      <w:r w:rsidR="00B7307B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1E6C22">
        <w:rPr>
          <w:rFonts w:ascii="Times New Roman" w:hAnsi="Times New Roman" w:cs="Times New Roman"/>
          <w:sz w:val="28"/>
          <w:szCs w:val="28"/>
        </w:rPr>
        <w:t xml:space="preserve"> Администрации МО «Селенгинский район» «О содействии развития конкуренции в муниципальном образовании «Селенгинский район» №1044 от 28 ноября 2022 года.</w:t>
      </w:r>
    </w:p>
    <w:p w:rsidR="0067768C" w:rsidRPr="00882B9A" w:rsidRDefault="00AF223D" w:rsidP="0067768C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Срок: до 02</w:t>
      </w:r>
      <w:r w:rsidR="0067768C">
        <w:rPr>
          <w:rFonts w:ascii="Times New Roman" w:hAnsi="Times New Roman" w:cs="Times New Roman"/>
          <w:b/>
          <w:i/>
          <w:sz w:val="28"/>
          <w:szCs w:val="28"/>
        </w:rPr>
        <w:t xml:space="preserve"> декабря</w:t>
      </w:r>
      <w:r w:rsidR="0067768C" w:rsidRPr="00882B9A">
        <w:rPr>
          <w:rFonts w:ascii="Times New Roman" w:hAnsi="Times New Roman" w:cs="Times New Roman"/>
          <w:b/>
          <w:i/>
          <w:sz w:val="28"/>
          <w:szCs w:val="28"/>
        </w:rPr>
        <w:t xml:space="preserve"> 2022 года</w:t>
      </w:r>
    </w:p>
    <w:p w:rsidR="0067768C" w:rsidRDefault="0067768C" w:rsidP="0067768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7768C" w:rsidRDefault="0067768C" w:rsidP="0067768C">
      <w:pPr>
        <w:rPr>
          <w:rFonts w:ascii="Times New Roman" w:hAnsi="Times New Roman" w:cs="Times New Roman"/>
          <w:sz w:val="28"/>
          <w:szCs w:val="28"/>
        </w:rPr>
      </w:pPr>
    </w:p>
    <w:p w:rsidR="0067768C" w:rsidRPr="000153EC" w:rsidRDefault="0067768C" w:rsidP="0067768C">
      <w:pPr>
        <w:rPr>
          <w:rFonts w:ascii="Times New Roman" w:hAnsi="Times New Roman" w:cs="Times New Roman"/>
          <w:sz w:val="28"/>
          <w:szCs w:val="28"/>
        </w:rPr>
      </w:pPr>
    </w:p>
    <w:p w:rsidR="0067768C" w:rsidRDefault="0067768C" w:rsidP="006776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Очирова Э.З.</w:t>
      </w:r>
    </w:p>
    <w:p w:rsidR="0067768C" w:rsidRPr="00F9611C" w:rsidRDefault="0067768C" w:rsidP="0067768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68C" w:rsidRDefault="0067768C" w:rsidP="0067768C"/>
    <w:p w:rsidR="004F5129" w:rsidRDefault="004F5129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/>
    <w:p w:rsidR="000418F6" w:rsidRDefault="000418F6" w:rsidP="000418F6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418F6" w:rsidRDefault="000418F6" w:rsidP="000418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от 30.11.2022 № 3</w:t>
      </w:r>
    </w:p>
    <w:p w:rsidR="000418F6" w:rsidRPr="00B43B10" w:rsidRDefault="000418F6" w:rsidP="000418F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F6" w:rsidRDefault="000418F6" w:rsidP="000418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B10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показатели эффективности антимонопольного комплаенса Администрации МО «Селенгинский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подведомственных учреждений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2023</w:t>
      </w:r>
      <w:bookmarkStart w:id="0" w:name="_GoBack"/>
      <w:bookmarkEnd w:id="0"/>
      <w:r w:rsidRPr="00B43B1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418F6" w:rsidRPr="00873EA9" w:rsidRDefault="000418F6" w:rsidP="000418F6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tbl>
      <w:tblPr>
        <w:tblW w:w="485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1607"/>
        <w:gridCol w:w="4748"/>
      </w:tblGrid>
      <w:tr w:rsidR="000418F6" w:rsidRPr="006922D0" w:rsidTr="00111224">
        <w:trPr>
          <w:trHeight w:hRule="exact" w:val="679"/>
          <w:tblHeader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F6" w:rsidRPr="00B92067" w:rsidRDefault="000418F6" w:rsidP="0011122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F6" w:rsidRPr="003E7AA5" w:rsidRDefault="000418F6" w:rsidP="00111224">
            <w:pPr>
              <w:autoSpaceDE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Целевое значение на 2023</w:t>
            </w:r>
            <w:r w:rsidRPr="00B920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F6" w:rsidRPr="007A1D51" w:rsidRDefault="000418F6" w:rsidP="0011122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Методика расчета</w:t>
            </w:r>
          </w:p>
        </w:tc>
      </w:tr>
      <w:tr w:rsidR="000418F6" w:rsidRPr="006922D0" w:rsidTr="00111224">
        <w:trPr>
          <w:trHeight w:val="84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F6" w:rsidRPr="007A1D51" w:rsidRDefault="000418F6" w:rsidP="00111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оэффициент снижения количества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антимонопольного законодательства со стороны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МО «Селенгинский район» (далее – АМО),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F6" w:rsidRPr="009F2DAF" w:rsidRDefault="000418F6" w:rsidP="00111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F6" w:rsidRPr="009F2DAF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0418F6" w:rsidRPr="009F2DAF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КСН =</w:t>
            </w:r>
            <m:oMath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2017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m:t>КНоп</m:t>
                  </m:r>
                </m:den>
              </m:f>
            </m:oMath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где: </w:t>
            </w:r>
          </w:p>
          <w:p w:rsidR="000418F6" w:rsidRPr="009F2DAF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18F6" w:rsidRPr="009F2DAF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КСН – коэффициент снижения количества нарушений антимонопольно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 законодательства со стороны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сравнению с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годом;</w:t>
            </w:r>
          </w:p>
          <w:p w:rsidR="000418F6" w:rsidRPr="009F2DAF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</w:t>
            </w:r>
            <w:r w:rsidRPr="009F2DAF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2017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– количество нарушений антимонопольного законодательства со стороны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году;</w:t>
            </w:r>
          </w:p>
          <w:p w:rsidR="000418F6" w:rsidRPr="009F2DAF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КНоп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нарушений антимонопольного законодательства со стороны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в отчетном периоде.</w:t>
            </w:r>
          </w:p>
        </w:tc>
      </w:tr>
      <w:tr w:rsidR="000418F6" w:rsidRPr="006922D0" w:rsidTr="00111224">
        <w:trPr>
          <w:trHeight w:val="3096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F6" w:rsidRPr="00964FB5" w:rsidRDefault="000418F6" w:rsidP="0011122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нормативных правовы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актов Администрации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антимонопольным органом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выявлены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риски нарушения антимонопольного законодательства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F6" w:rsidRPr="009F2DAF" w:rsidRDefault="000418F6" w:rsidP="00111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F6" w:rsidRPr="009F2DAF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0418F6" w:rsidRPr="009F2DAF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Днпа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m:t>оп</m:t>
                      </m:r>
                    </m:sub>
                  </m:sSub>
                </m:den>
              </m:f>
            </m:oMath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, где:</w:t>
            </w:r>
          </w:p>
          <w:p w:rsidR="000418F6" w:rsidRPr="009F2DAF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18F6" w:rsidRPr="009F2DAF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Днпа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доля нормативных правовых актов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, в которых антимонопольным органом выявлены риски нарушения антимонопольного законодательства;</w:t>
            </w:r>
          </w:p>
          <w:p w:rsidR="000418F6" w:rsidRPr="009F2DAF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Кнпа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нормативных правовых актов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, в которых антимонопольным органом выявлены риски нарушения антимонопольного законодательства (в отчетном периоде);</w:t>
            </w:r>
          </w:p>
          <w:p w:rsidR="000418F6" w:rsidRPr="009F2DAF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КНоп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нормативных правовых актов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, в которых антимонопольным органом выявлены нарушения антимонопольного законодательства (в отчетном периоде)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418F6" w:rsidRPr="006922D0" w:rsidTr="00111224">
        <w:trPr>
          <w:trHeight w:val="1129"/>
        </w:trPr>
        <w:tc>
          <w:tcPr>
            <w:tcW w:w="1500" w:type="pct"/>
            <w:tcBorders>
              <w:left w:val="single" w:sz="4" w:space="0" w:color="auto"/>
              <w:right w:val="single" w:sz="4" w:space="0" w:color="auto"/>
            </w:tcBorders>
          </w:tcPr>
          <w:p w:rsidR="000418F6" w:rsidRPr="00E70805" w:rsidRDefault="000418F6" w:rsidP="0011122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сотрудников АМО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885" w:type="pct"/>
            <w:tcBorders>
              <w:left w:val="single" w:sz="4" w:space="0" w:color="auto"/>
              <w:right w:val="single" w:sz="4" w:space="0" w:color="auto"/>
            </w:tcBorders>
          </w:tcPr>
          <w:p w:rsidR="000418F6" w:rsidRPr="007A1D51" w:rsidRDefault="000418F6" w:rsidP="001112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F6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:rsidR="000418F6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общ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где:</w:t>
            </w:r>
          </w:p>
          <w:p w:rsidR="000418F6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18F6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proofErr w:type="spellEnd"/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доля сотрудников АМО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, 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и антимонопольному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0418F6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сотрудников АМО, 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и антимонопольному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0418F6" w:rsidRPr="007A1D51" w:rsidRDefault="000418F6" w:rsidP="001112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КСобщ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общее количество сотрудников АМО, чьи должностные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:rsidR="000418F6" w:rsidRDefault="000418F6"/>
    <w:sectPr w:rsidR="000418F6" w:rsidSect="008F67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2"/>
    <w:rsid w:val="000418F6"/>
    <w:rsid w:val="001E6C22"/>
    <w:rsid w:val="003717EE"/>
    <w:rsid w:val="0044247E"/>
    <w:rsid w:val="004F5129"/>
    <w:rsid w:val="00555F16"/>
    <w:rsid w:val="00637312"/>
    <w:rsid w:val="0067768C"/>
    <w:rsid w:val="007D3B2D"/>
    <w:rsid w:val="008E6265"/>
    <w:rsid w:val="008F67CE"/>
    <w:rsid w:val="009560BA"/>
    <w:rsid w:val="00AA4B76"/>
    <w:rsid w:val="00AF223D"/>
    <w:rsid w:val="00B7307B"/>
    <w:rsid w:val="00C3139F"/>
    <w:rsid w:val="00C409E4"/>
    <w:rsid w:val="00D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6B7A"/>
  <w15:chartTrackingRefBased/>
  <w15:docId w15:val="{4941F38D-7265-4365-B80A-FF7A3508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8C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68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67768C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Ирина Валериевна</cp:lastModifiedBy>
  <cp:revision>22</cp:revision>
  <dcterms:created xsi:type="dcterms:W3CDTF">2022-11-30T06:14:00Z</dcterms:created>
  <dcterms:modified xsi:type="dcterms:W3CDTF">2023-02-14T06:10:00Z</dcterms:modified>
</cp:coreProperties>
</file>