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C6" w:rsidRPr="00A278A3" w:rsidRDefault="00BF0348" w:rsidP="00216B7C">
      <w:pPr>
        <w:pStyle w:val="20"/>
        <w:shd w:val="clear" w:color="auto" w:fill="auto"/>
        <w:tabs>
          <w:tab w:val="left" w:pos="709"/>
          <w:tab w:val="left" w:pos="4395"/>
        </w:tabs>
        <w:spacing w:before="0" w:after="0" w:line="240" w:lineRule="auto"/>
        <w:ind w:right="20" w:firstLine="142"/>
        <w:rPr>
          <w:b/>
          <w:sz w:val="24"/>
          <w:szCs w:val="24"/>
        </w:rPr>
      </w:pPr>
      <w:bookmarkStart w:id="0" w:name="bookmark13"/>
      <w:r>
        <w:rPr>
          <w:b/>
          <w:sz w:val="24"/>
          <w:szCs w:val="24"/>
        </w:rPr>
        <w:t>Глава</w:t>
      </w:r>
      <w:r>
        <w:rPr>
          <w:b/>
          <w:sz w:val="24"/>
          <w:szCs w:val="24"/>
          <w:lang w:val="ru-RU"/>
        </w:rPr>
        <w:t xml:space="preserve"> </w:t>
      </w:r>
      <w:r w:rsidR="003816C6" w:rsidRPr="00A278A3">
        <w:rPr>
          <w:b/>
          <w:sz w:val="24"/>
          <w:szCs w:val="24"/>
        </w:rPr>
        <w:t xml:space="preserve">3. </w:t>
      </w:r>
      <w:r w:rsidR="00790E4D">
        <w:rPr>
          <w:b/>
          <w:sz w:val="24"/>
          <w:szCs w:val="24"/>
        </w:rPr>
        <w:t xml:space="preserve">  </w:t>
      </w:r>
      <w:r w:rsidR="00353578" w:rsidRPr="00A278A3">
        <w:rPr>
          <w:b/>
          <w:sz w:val="24"/>
          <w:szCs w:val="24"/>
        </w:rPr>
        <w:t>Правила и область применения расчетных показателей</w:t>
      </w:r>
      <w:r w:rsidR="003F08AB" w:rsidRPr="00A278A3">
        <w:rPr>
          <w:b/>
          <w:sz w:val="24"/>
          <w:szCs w:val="24"/>
        </w:rPr>
        <w:t>,</w:t>
      </w:r>
      <w:r w:rsidR="003F08AB" w:rsidRPr="00A278A3">
        <w:rPr>
          <w:sz w:val="24"/>
          <w:szCs w:val="24"/>
        </w:rPr>
        <w:t xml:space="preserve"> </w:t>
      </w:r>
      <w:r w:rsidR="00294C0E" w:rsidRPr="00A278A3">
        <w:rPr>
          <w:b/>
          <w:sz w:val="24"/>
          <w:szCs w:val="24"/>
        </w:rPr>
        <w:t>содержащихся в основной части нормативов градостроительного проектирования</w:t>
      </w:r>
    </w:p>
    <w:p w:rsidR="002B0B60" w:rsidRPr="00A278A3" w:rsidRDefault="002B0B60" w:rsidP="002B0B60">
      <w:pPr>
        <w:pStyle w:val="20"/>
        <w:shd w:val="clear" w:color="auto" w:fill="auto"/>
        <w:tabs>
          <w:tab w:val="left" w:pos="432"/>
        </w:tabs>
        <w:spacing w:before="0" w:after="0" w:line="240" w:lineRule="auto"/>
        <w:ind w:left="440" w:right="20" w:firstLine="0"/>
        <w:rPr>
          <w:sz w:val="24"/>
          <w:szCs w:val="24"/>
          <w:lang/>
        </w:rPr>
      </w:pPr>
    </w:p>
    <w:p w:rsidR="005D6AEC" w:rsidRPr="00A278A3" w:rsidRDefault="00EA4319" w:rsidP="007654C6">
      <w:pPr>
        <w:pStyle w:val="3"/>
        <w:shd w:val="clear" w:color="auto" w:fill="auto"/>
        <w:spacing w:line="276" w:lineRule="auto"/>
        <w:ind w:left="20" w:firstLine="700"/>
        <w:jc w:val="both"/>
        <w:rPr>
          <w:color w:val="auto"/>
          <w:sz w:val="24"/>
          <w:szCs w:val="24"/>
          <w:lang w:val="ru-RU" w:eastAsia="en-US"/>
        </w:rPr>
      </w:pPr>
      <w:r w:rsidRPr="00A278A3">
        <w:rPr>
          <w:color w:val="auto"/>
          <w:sz w:val="24"/>
          <w:szCs w:val="24"/>
          <w:lang w:val="ru-RU" w:eastAsia="en-US"/>
        </w:rPr>
        <w:t>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</w:t>
      </w:r>
      <w:r w:rsidR="002B4E7F">
        <w:rPr>
          <w:color w:val="auto"/>
          <w:sz w:val="24"/>
          <w:szCs w:val="24"/>
          <w:lang w:val="ru-RU" w:eastAsia="en-US"/>
        </w:rPr>
        <w:t>ого</w:t>
      </w:r>
      <w:r w:rsidRPr="00A278A3">
        <w:rPr>
          <w:color w:val="auto"/>
          <w:sz w:val="24"/>
          <w:szCs w:val="24"/>
          <w:lang w:val="ru-RU" w:eastAsia="en-US"/>
        </w:rPr>
        <w:t xml:space="preserve"> образовани</w:t>
      </w:r>
      <w:r w:rsidR="002B4E7F">
        <w:rPr>
          <w:color w:val="auto"/>
          <w:sz w:val="24"/>
          <w:szCs w:val="24"/>
          <w:lang w:val="ru-RU" w:eastAsia="en-US"/>
        </w:rPr>
        <w:t>я</w:t>
      </w:r>
      <w:r w:rsidRPr="00A278A3">
        <w:rPr>
          <w:color w:val="auto"/>
          <w:sz w:val="24"/>
          <w:szCs w:val="24"/>
          <w:lang w:val="ru-RU" w:eastAsia="en-US"/>
        </w:rPr>
        <w:t xml:space="preserve">, установленные в </w:t>
      </w:r>
      <w:r w:rsidR="00822E8B">
        <w:rPr>
          <w:color w:val="auto"/>
          <w:sz w:val="24"/>
          <w:szCs w:val="24"/>
          <w:lang w:val="ru-RU" w:eastAsia="en-US"/>
        </w:rPr>
        <w:t>основной части м</w:t>
      </w:r>
      <w:r w:rsidRPr="00A278A3">
        <w:rPr>
          <w:color w:val="auto"/>
          <w:sz w:val="24"/>
          <w:szCs w:val="24"/>
          <w:lang w:val="ru-RU" w:eastAsia="en-US"/>
        </w:rPr>
        <w:t xml:space="preserve">естных </w:t>
      </w:r>
      <w:r w:rsidR="009A221C" w:rsidRPr="00A278A3">
        <w:rPr>
          <w:color w:val="auto"/>
          <w:sz w:val="24"/>
          <w:szCs w:val="24"/>
          <w:lang w:val="ru-RU" w:eastAsia="en-US"/>
        </w:rPr>
        <w:t>нормативов</w:t>
      </w:r>
      <w:r w:rsidRPr="00A278A3">
        <w:rPr>
          <w:color w:val="auto"/>
          <w:sz w:val="24"/>
          <w:szCs w:val="24"/>
          <w:lang w:val="ru-RU" w:eastAsia="en-US"/>
        </w:rPr>
        <w:t>, применяются при</w:t>
      </w:r>
      <w:r w:rsidR="005D6AEC" w:rsidRPr="00A278A3">
        <w:rPr>
          <w:color w:val="auto"/>
          <w:sz w:val="24"/>
          <w:szCs w:val="24"/>
          <w:lang w:val="ru-RU" w:eastAsia="en-US"/>
        </w:rPr>
        <w:t xml:space="preserve"> подготовке (корректировке) </w:t>
      </w:r>
      <w:r w:rsidR="005D6AEC" w:rsidRPr="00ED3617">
        <w:rPr>
          <w:color w:val="auto"/>
          <w:sz w:val="24"/>
          <w:szCs w:val="24"/>
          <w:lang w:val="ru-RU" w:eastAsia="en-US"/>
        </w:rPr>
        <w:t>схем</w:t>
      </w:r>
      <w:r w:rsidR="00E70A5D" w:rsidRPr="00ED3617">
        <w:rPr>
          <w:color w:val="auto"/>
          <w:sz w:val="24"/>
          <w:szCs w:val="24"/>
          <w:lang w:val="ru-RU" w:eastAsia="en-US"/>
        </w:rPr>
        <w:t>ы</w:t>
      </w:r>
      <w:r w:rsidR="005D6AEC" w:rsidRPr="00ED3617">
        <w:rPr>
          <w:color w:val="auto"/>
          <w:sz w:val="24"/>
          <w:szCs w:val="24"/>
          <w:lang w:val="ru-RU" w:eastAsia="en-US"/>
        </w:rPr>
        <w:t xml:space="preserve"> территориального планирования муниципального района, генерального плана </w:t>
      </w:r>
      <w:r w:rsidR="00214C8F" w:rsidRPr="00ED3617">
        <w:rPr>
          <w:color w:val="auto"/>
          <w:sz w:val="24"/>
          <w:szCs w:val="24"/>
          <w:lang w:val="ru-RU" w:eastAsia="en-US"/>
        </w:rPr>
        <w:t>и правил</w:t>
      </w:r>
      <w:r w:rsidR="00214C8F" w:rsidRPr="00A278A3">
        <w:rPr>
          <w:color w:val="auto"/>
          <w:sz w:val="24"/>
          <w:szCs w:val="24"/>
          <w:lang w:val="ru-RU" w:eastAsia="en-US"/>
        </w:rPr>
        <w:t xml:space="preserve"> землепользования и застройки </w:t>
      </w:r>
      <w:r w:rsidR="005D6AEC" w:rsidRPr="00A278A3">
        <w:rPr>
          <w:color w:val="auto"/>
          <w:sz w:val="24"/>
          <w:szCs w:val="24"/>
          <w:lang w:val="ru-RU" w:eastAsia="en-US"/>
        </w:rPr>
        <w:t xml:space="preserve">поселения, </w:t>
      </w:r>
      <w:r w:rsidR="00214C8F" w:rsidRPr="00A278A3">
        <w:rPr>
          <w:color w:val="auto"/>
          <w:sz w:val="24"/>
          <w:szCs w:val="24"/>
          <w:lang w:val="ru-RU" w:eastAsia="en-US"/>
        </w:rPr>
        <w:t>проектов планировки территории.</w:t>
      </w:r>
    </w:p>
    <w:p w:rsidR="00EA4319" w:rsidRPr="00A278A3" w:rsidRDefault="00EA4319" w:rsidP="007654C6">
      <w:pPr>
        <w:pStyle w:val="11"/>
        <w:shd w:val="clear" w:color="auto" w:fill="auto"/>
        <w:spacing w:after="0" w:line="276" w:lineRule="auto"/>
        <w:ind w:left="20" w:right="20" w:firstLine="58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Утвержденные местные нормативы градостроительного проектирования подлежат применению:</w:t>
      </w:r>
    </w:p>
    <w:p w:rsidR="00EA4319" w:rsidRPr="00A278A3" w:rsidRDefault="00EA4319" w:rsidP="007654C6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276" w:lineRule="auto"/>
        <w:ind w:left="20" w:right="20" w:firstLine="58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 xml:space="preserve">органами государственной власти </w:t>
      </w:r>
      <w:r w:rsidR="008266B5" w:rsidRPr="00A278A3">
        <w:rPr>
          <w:sz w:val="24"/>
          <w:szCs w:val="24"/>
        </w:rPr>
        <w:t>Республики Бурятия</w:t>
      </w:r>
      <w:r w:rsidRPr="00A278A3">
        <w:rPr>
          <w:sz w:val="24"/>
          <w:szCs w:val="24"/>
        </w:rPr>
        <w:t xml:space="preserve"> при осуществлении ими контроля за соблюдением органами местного самоуправления законодательства о градостроительной деятельности;</w:t>
      </w:r>
    </w:p>
    <w:p w:rsidR="00EA4319" w:rsidRPr="00A278A3" w:rsidRDefault="00EA4319" w:rsidP="007654C6">
      <w:pPr>
        <w:pStyle w:val="11"/>
        <w:numPr>
          <w:ilvl w:val="0"/>
          <w:numId w:val="2"/>
        </w:numPr>
        <w:shd w:val="clear" w:color="auto" w:fill="auto"/>
        <w:tabs>
          <w:tab w:val="left" w:pos="937"/>
        </w:tabs>
        <w:spacing w:after="0" w:line="276" w:lineRule="auto"/>
        <w:ind w:left="20" w:right="20" w:firstLine="58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социально- экономическим условиям на территории при принятии решений о развитии застроенных территорий муниципальных образований;</w:t>
      </w:r>
    </w:p>
    <w:p w:rsidR="001D336E" w:rsidRPr="00A278A3" w:rsidRDefault="00EA4319" w:rsidP="007654C6">
      <w:pPr>
        <w:pStyle w:val="11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76" w:lineRule="auto"/>
        <w:ind w:left="20" w:right="20" w:firstLine="58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разработчиками градостроительной документации,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населения.</w:t>
      </w:r>
    </w:p>
    <w:p w:rsidR="001D336E" w:rsidRPr="00A278A3" w:rsidRDefault="001D336E" w:rsidP="007654C6">
      <w:pPr>
        <w:pStyle w:val="11"/>
        <w:shd w:val="clear" w:color="auto" w:fill="auto"/>
        <w:tabs>
          <w:tab w:val="left" w:pos="898"/>
        </w:tabs>
        <w:spacing w:after="0" w:line="276" w:lineRule="auto"/>
        <w:ind w:right="20" w:firstLine="709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3939ED" w:rsidRPr="00A278A3" w:rsidRDefault="008B24BE" w:rsidP="007654C6">
      <w:pPr>
        <w:pStyle w:val="3"/>
        <w:shd w:val="clear" w:color="auto" w:fill="auto"/>
        <w:spacing w:line="276" w:lineRule="auto"/>
        <w:ind w:left="20" w:firstLine="700"/>
        <w:jc w:val="both"/>
        <w:rPr>
          <w:sz w:val="24"/>
          <w:szCs w:val="24"/>
          <w:lang w:val="ru-RU"/>
        </w:rPr>
      </w:pPr>
      <w:r w:rsidRPr="00A278A3">
        <w:rPr>
          <w:sz w:val="24"/>
          <w:szCs w:val="24"/>
        </w:rPr>
        <w:t xml:space="preserve">Действие расчетных показателей </w:t>
      </w:r>
      <w:r w:rsidR="00A278A3">
        <w:rPr>
          <w:sz w:val="24"/>
          <w:szCs w:val="24"/>
          <w:lang w:val="ru-RU"/>
        </w:rPr>
        <w:t xml:space="preserve">местных </w:t>
      </w:r>
      <w:r w:rsidRPr="00A278A3">
        <w:rPr>
          <w:sz w:val="24"/>
          <w:szCs w:val="24"/>
        </w:rPr>
        <w:t xml:space="preserve">нормативов градостроительного проектирования распространяется на всю территорию </w:t>
      </w:r>
      <w:r w:rsidRPr="00A278A3">
        <w:rPr>
          <w:sz w:val="24"/>
          <w:szCs w:val="24"/>
          <w:lang w:val="ru-RU"/>
        </w:rPr>
        <w:t>муниципального образования</w:t>
      </w:r>
      <w:r w:rsidRPr="00A278A3">
        <w:rPr>
          <w:sz w:val="24"/>
          <w:szCs w:val="24"/>
        </w:rPr>
        <w:t>, где имеются или планируются объекты нормирования, относящиеся к вопросам местного значения.</w:t>
      </w:r>
      <w:r w:rsidR="003939ED" w:rsidRPr="00A278A3">
        <w:rPr>
          <w:sz w:val="24"/>
          <w:szCs w:val="24"/>
          <w:lang w:val="ru-RU"/>
        </w:rPr>
        <w:t xml:space="preserve"> </w:t>
      </w:r>
    </w:p>
    <w:p w:rsidR="00C215DE" w:rsidRPr="00A278A3" w:rsidRDefault="00C215DE" w:rsidP="007654C6">
      <w:pPr>
        <w:pStyle w:val="a5"/>
        <w:spacing w:line="276" w:lineRule="auto"/>
        <w:ind w:left="0" w:right="100"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A278A3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Показатели, необходимые при осуществлении градостроительной деятельности в границах муниципального </w:t>
      </w:r>
      <w:r w:rsidR="002B4E7F">
        <w:rPr>
          <w:rFonts w:ascii="Times New Roman" w:eastAsia="Times New Roman" w:hAnsi="Times New Roman" w:cs="Times New Roman"/>
          <w:color w:val="auto"/>
          <w:lang w:val="ru-RU" w:eastAsia="en-US"/>
        </w:rPr>
        <w:t>образования</w:t>
      </w:r>
      <w:r w:rsidR="00822E8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и не установленные м</w:t>
      </w:r>
      <w:r w:rsidRPr="00A278A3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естными нормативами, правилами землепользования и застройки и генеральным планом, принимаются в соответствии с региональными нормативами градостроительного проектирования, требованиями нормативных правовых актов Российской Федерации, области, органов местного самоуправления, образующих систему нормативных правовых актов, регламентирующих градостроительную деятельность и предназначенных для использования субъектами градостроительной деятельности на территории муниципального </w:t>
      </w:r>
      <w:r w:rsidR="002B4E7F">
        <w:rPr>
          <w:rFonts w:ascii="Times New Roman" w:eastAsia="Times New Roman" w:hAnsi="Times New Roman" w:cs="Times New Roman"/>
          <w:color w:val="auto"/>
          <w:lang w:val="ru-RU" w:eastAsia="en-US"/>
        </w:rPr>
        <w:t>образования</w:t>
      </w:r>
      <w:r w:rsidRPr="00A278A3">
        <w:rPr>
          <w:rFonts w:ascii="Times New Roman" w:eastAsia="Times New Roman" w:hAnsi="Times New Roman" w:cs="Times New Roman"/>
          <w:color w:val="auto"/>
          <w:lang w:val="ru-RU" w:eastAsia="en-US"/>
        </w:rPr>
        <w:t>.</w:t>
      </w:r>
    </w:p>
    <w:p w:rsidR="007654C6" w:rsidRDefault="00EA4319" w:rsidP="007654C6">
      <w:pPr>
        <w:pStyle w:val="11"/>
        <w:shd w:val="clear" w:color="auto" w:fill="auto"/>
        <w:spacing w:after="0" w:line="276" w:lineRule="auto"/>
        <w:ind w:left="20" w:right="20" w:firstLine="689"/>
        <w:jc w:val="both"/>
        <w:rPr>
          <w:sz w:val="24"/>
          <w:szCs w:val="24"/>
          <w:lang w:val="ru-RU"/>
        </w:rPr>
      </w:pPr>
      <w:r w:rsidRPr="00A278A3">
        <w:rPr>
          <w:sz w:val="24"/>
          <w:szCs w:val="24"/>
        </w:rPr>
        <w:t xml:space="preserve">К отношениям, не урегулированным в </w:t>
      </w:r>
      <w:r w:rsidR="00822E8B">
        <w:rPr>
          <w:sz w:val="24"/>
          <w:szCs w:val="24"/>
        </w:rPr>
        <w:t>м</w:t>
      </w:r>
      <w:r w:rsidRPr="00A278A3">
        <w:rPr>
          <w:sz w:val="24"/>
          <w:szCs w:val="24"/>
        </w:rPr>
        <w:t xml:space="preserve">естных нормативах, применяется законодательство Российской Федерации и </w:t>
      </w:r>
      <w:r w:rsidR="008266B5" w:rsidRPr="00A278A3">
        <w:rPr>
          <w:sz w:val="24"/>
          <w:szCs w:val="24"/>
        </w:rPr>
        <w:t>Республики Бурятия</w:t>
      </w:r>
      <w:r w:rsidRPr="00A278A3">
        <w:rPr>
          <w:sz w:val="24"/>
          <w:szCs w:val="24"/>
        </w:rPr>
        <w:t xml:space="preserve">. Местные нормативы градостроительного проектирования применяются в части, не противоречащей законодательству Российской Федерации и </w:t>
      </w:r>
      <w:r w:rsidR="008266B5" w:rsidRPr="00A278A3">
        <w:rPr>
          <w:sz w:val="24"/>
          <w:szCs w:val="24"/>
        </w:rPr>
        <w:t>Республики Бурятия</w:t>
      </w:r>
      <w:r w:rsidRPr="00A278A3">
        <w:rPr>
          <w:sz w:val="24"/>
          <w:szCs w:val="24"/>
        </w:rPr>
        <w:t xml:space="preserve">, техническим регламентам и нормативным техническим документам, действующим до принятия технических </w:t>
      </w:r>
    </w:p>
    <w:p w:rsidR="007654C6" w:rsidRDefault="00EA4319" w:rsidP="007654C6">
      <w:pPr>
        <w:pStyle w:val="11"/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  <w:lang w:val="ru-RU"/>
        </w:rPr>
      </w:pPr>
      <w:r w:rsidRPr="00A278A3">
        <w:rPr>
          <w:sz w:val="24"/>
          <w:szCs w:val="24"/>
        </w:rPr>
        <w:t>регламентов по организации территории, размещению, проектированию, строительству и эксплуатации объектов капитального строительства.</w:t>
      </w:r>
      <w:r w:rsidR="006E0225" w:rsidRPr="00A278A3">
        <w:rPr>
          <w:sz w:val="24"/>
          <w:szCs w:val="24"/>
        </w:rPr>
        <w:t xml:space="preserve"> Создание всех объектов, включая те, </w:t>
      </w:r>
    </w:p>
    <w:p w:rsidR="007654C6" w:rsidRDefault="007654C6" w:rsidP="007654C6">
      <w:pPr>
        <w:pStyle w:val="11"/>
        <w:shd w:val="clear" w:color="auto" w:fill="auto"/>
        <w:spacing w:after="0" w:line="276" w:lineRule="auto"/>
        <w:ind w:left="20" w:right="20" w:firstLine="689"/>
        <w:jc w:val="both"/>
        <w:rPr>
          <w:sz w:val="24"/>
          <w:szCs w:val="24"/>
          <w:lang w:val="ru-RU"/>
        </w:rPr>
      </w:pPr>
    </w:p>
    <w:p w:rsidR="00EA4319" w:rsidRDefault="006E0225" w:rsidP="007654C6">
      <w:pPr>
        <w:pStyle w:val="11"/>
        <w:shd w:val="clear" w:color="auto" w:fill="auto"/>
        <w:spacing w:after="0" w:line="276" w:lineRule="auto"/>
        <w:ind w:left="20" w:right="20" w:firstLine="0"/>
        <w:jc w:val="both"/>
        <w:rPr>
          <w:color w:val="000000"/>
          <w:sz w:val="24"/>
          <w:szCs w:val="24"/>
          <w:lang w:eastAsia="ru-RU"/>
        </w:rPr>
      </w:pPr>
      <w:r w:rsidRPr="00A278A3">
        <w:rPr>
          <w:sz w:val="24"/>
          <w:szCs w:val="24"/>
        </w:rPr>
        <w:lastRenderedPageBreak/>
        <w:t xml:space="preserve">которые не определены Местными нормативами, происходит по выбору правообладателей земельных участков в соответствии с градостроительными </w:t>
      </w:r>
      <w:r w:rsidRPr="00A278A3">
        <w:rPr>
          <w:color w:val="000000"/>
          <w:sz w:val="24"/>
          <w:szCs w:val="24"/>
          <w:lang w:eastAsia="ru-RU"/>
        </w:rPr>
        <w:t>регламентами, содержащимися в правилах землепользования и застройки.</w:t>
      </w:r>
    </w:p>
    <w:bookmarkEnd w:id="0"/>
    <w:p w:rsidR="003E231C" w:rsidRDefault="003E231C" w:rsidP="007654C6">
      <w:pPr>
        <w:pStyle w:val="11"/>
        <w:shd w:val="clear" w:color="auto" w:fill="auto"/>
        <w:spacing w:after="0" w:line="276" w:lineRule="auto"/>
        <w:ind w:left="23" w:right="23" w:firstLine="0"/>
        <w:jc w:val="both"/>
        <w:rPr>
          <w:color w:val="000000"/>
          <w:sz w:val="24"/>
          <w:szCs w:val="24"/>
          <w:lang w:eastAsia="ru-RU"/>
        </w:rPr>
      </w:pPr>
      <w:r w:rsidRPr="00A278A3">
        <w:rPr>
          <w:color w:val="000000"/>
          <w:sz w:val="24"/>
          <w:szCs w:val="24"/>
          <w:lang w:eastAsia="ru-RU"/>
        </w:rPr>
        <w:t>Планировка и застройка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 без приспособления указанных объектов для беспрепятственного доступа к ним инвалидов, маломобильных групп граждан и использования их инвалидами, маломобильными группами граждан не допускаются.</w:t>
      </w:r>
    </w:p>
    <w:p w:rsidR="001606E7" w:rsidRPr="00A278A3" w:rsidRDefault="001606E7" w:rsidP="007654C6">
      <w:pPr>
        <w:pStyle w:val="3"/>
        <w:shd w:val="clear" w:color="auto" w:fill="auto"/>
        <w:spacing w:line="276" w:lineRule="auto"/>
        <w:ind w:left="20" w:firstLine="700"/>
        <w:jc w:val="both"/>
        <w:rPr>
          <w:i/>
          <w:sz w:val="24"/>
          <w:szCs w:val="24"/>
          <w:lang w:val="ru-RU"/>
        </w:rPr>
      </w:pPr>
      <w:r w:rsidRPr="00A278A3">
        <w:rPr>
          <w:sz w:val="24"/>
          <w:szCs w:val="24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ёмкость, вместимость, прочие характеристики),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</w:t>
      </w:r>
      <w:r w:rsidR="0025406F" w:rsidRPr="00A278A3">
        <w:rPr>
          <w:sz w:val="24"/>
          <w:szCs w:val="24"/>
        </w:rPr>
        <w:t>,</w:t>
      </w:r>
      <w:r w:rsidRPr="00A278A3">
        <w:rPr>
          <w:sz w:val="24"/>
          <w:szCs w:val="24"/>
        </w:rPr>
        <w:t xml:space="preserve"> </w:t>
      </w:r>
      <w:r w:rsidR="0038784E" w:rsidRPr="00A278A3">
        <w:rPr>
          <w:sz w:val="24"/>
          <w:szCs w:val="24"/>
        </w:rPr>
        <w:t>норм проектирования для конкретного вида деятельности</w:t>
      </w:r>
      <w:r w:rsidR="003E231C" w:rsidRPr="00A278A3">
        <w:rPr>
          <w:i/>
          <w:sz w:val="24"/>
          <w:szCs w:val="24"/>
          <w:lang w:val="ru-RU"/>
        </w:rPr>
        <w:t>.</w:t>
      </w:r>
    </w:p>
    <w:p w:rsidR="001606E7" w:rsidRPr="00A278A3" w:rsidRDefault="001606E7" w:rsidP="007654C6">
      <w:pPr>
        <w:pStyle w:val="3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2B0B60" w:rsidRPr="00A278A3" w:rsidRDefault="00EE6BB5" w:rsidP="007654C6">
      <w:pPr>
        <w:pStyle w:val="11"/>
        <w:shd w:val="clear" w:color="auto" w:fill="auto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В случае утверждения региональных нормативов градостроительного проектирования Республики Бурятия, содержащих минимальные расчетные показатели обеспечения благоприятных условий жизнедеятельности человека для террито</w:t>
      </w:r>
      <w:r w:rsidR="002B4E7F">
        <w:rPr>
          <w:sz w:val="24"/>
          <w:szCs w:val="24"/>
        </w:rPr>
        <w:t>рий муниципального образования</w:t>
      </w:r>
      <w:r w:rsidRPr="00A278A3">
        <w:rPr>
          <w:sz w:val="24"/>
          <w:szCs w:val="24"/>
        </w:rPr>
        <w:t>, значения которых приняты более высокими, чем значения минимальных расчетных показателей, содержащихся в настоящих местных нормативах, применяются соответствующие региональные нормативы градостроительного проектирования Республики Бурятия.</w:t>
      </w:r>
    </w:p>
    <w:p w:rsidR="00A75D43" w:rsidRDefault="00A75D43" w:rsidP="007654C6">
      <w:pPr>
        <w:pStyle w:val="3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В связи с тем, что в настоящем документе конкретизация основных требований к планировке и застройке согласно пункту 1.1 СП 42.13330.2011 не осуществлялась, при определении требований к планировке и застройке территории поселения следует руководствоваться СП 42.13330.201</w:t>
      </w:r>
      <w:r w:rsidR="00425CC0">
        <w:rPr>
          <w:sz w:val="24"/>
          <w:szCs w:val="24"/>
          <w:lang w:val="ru-RU"/>
        </w:rPr>
        <w:t>6</w:t>
      </w:r>
      <w:r w:rsidRPr="00A278A3">
        <w:rPr>
          <w:sz w:val="24"/>
          <w:szCs w:val="24"/>
        </w:rPr>
        <w:t xml:space="preserve"> </w:t>
      </w:r>
      <w:r w:rsidR="006F36AD">
        <w:rPr>
          <w:sz w:val="24"/>
          <w:szCs w:val="24"/>
        </w:rPr>
        <w:t>«Г</w:t>
      </w:r>
      <w:r w:rsidR="006F36AD" w:rsidRPr="00A278A3">
        <w:rPr>
          <w:sz w:val="24"/>
          <w:szCs w:val="24"/>
        </w:rPr>
        <w:t xml:space="preserve">радостроительство планировка и застройка городских и сельских поселений» (актуализированная редакция </w:t>
      </w:r>
      <w:r w:rsidR="006F36AD">
        <w:rPr>
          <w:sz w:val="24"/>
          <w:szCs w:val="24"/>
          <w:lang w:val="ru-RU"/>
        </w:rPr>
        <w:t>СНиП</w:t>
      </w:r>
      <w:r w:rsidR="006F36AD" w:rsidRPr="00A278A3">
        <w:rPr>
          <w:sz w:val="24"/>
          <w:szCs w:val="24"/>
        </w:rPr>
        <w:t xml:space="preserve"> 2.07.01</w:t>
      </w:r>
      <w:r w:rsidR="006F36AD" w:rsidRPr="00A278A3">
        <w:rPr>
          <w:sz w:val="24"/>
          <w:szCs w:val="24"/>
        </w:rPr>
        <w:softHyphen/>
        <w:t>89*).</w:t>
      </w:r>
    </w:p>
    <w:p w:rsidR="00A278A3" w:rsidRPr="00A278A3" w:rsidRDefault="00A278A3" w:rsidP="007654C6">
      <w:pPr>
        <w:pStyle w:val="3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</w:p>
    <w:p w:rsidR="00A278A3" w:rsidRPr="00A278A3" w:rsidRDefault="00A278A3" w:rsidP="007654C6">
      <w:pPr>
        <w:rPr>
          <w:sz w:val="24"/>
          <w:szCs w:val="24"/>
        </w:rPr>
      </w:pPr>
    </w:p>
    <w:sectPr w:rsidR="00A278A3" w:rsidRPr="00A278A3" w:rsidSect="002A789D">
      <w:footerReference w:type="default" r:id="rId8"/>
      <w:pgSz w:w="11906" w:h="16838"/>
      <w:pgMar w:top="567" w:right="851" w:bottom="567" w:left="1418" w:header="709" w:footer="0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B12" w:rsidRDefault="00341B12" w:rsidP="006F36AD">
      <w:pPr>
        <w:spacing w:after="0" w:line="240" w:lineRule="auto"/>
      </w:pPr>
      <w:r>
        <w:separator/>
      </w:r>
    </w:p>
  </w:endnote>
  <w:endnote w:type="continuationSeparator" w:id="1">
    <w:p w:rsidR="00341B12" w:rsidRDefault="00341B12" w:rsidP="006F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AD" w:rsidRPr="006F36AD" w:rsidRDefault="006F36AD">
    <w:pPr>
      <w:pStyle w:val="a8"/>
      <w:jc w:val="right"/>
      <w:rPr>
        <w:rFonts w:ascii="Times New Roman" w:hAnsi="Times New Roman"/>
      </w:rPr>
    </w:pPr>
    <w:r w:rsidRPr="006F36AD">
      <w:rPr>
        <w:rFonts w:ascii="Times New Roman" w:hAnsi="Times New Roman"/>
      </w:rPr>
      <w:fldChar w:fldCharType="begin"/>
    </w:r>
    <w:r w:rsidRPr="006F36AD">
      <w:rPr>
        <w:rFonts w:ascii="Times New Roman" w:hAnsi="Times New Roman"/>
      </w:rPr>
      <w:instrText>PAGE   \* MERGEFORMAT</w:instrText>
    </w:r>
    <w:r w:rsidRPr="006F36AD">
      <w:rPr>
        <w:rFonts w:ascii="Times New Roman" w:hAnsi="Times New Roman"/>
      </w:rPr>
      <w:fldChar w:fldCharType="separate"/>
    </w:r>
    <w:r w:rsidR="00341B12">
      <w:rPr>
        <w:rFonts w:ascii="Times New Roman" w:hAnsi="Times New Roman"/>
        <w:noProof/>
      </w:rPr>
      <w:t>31</w:t>
    </w:r>
    <w:r w:rsidRPr="006F36AD">
      <w:rPr>
        <w:rFonts w:ascii="Times New Roman" w:hAnsi="Times New Roman"/>
      </w:rPr>
      <w:fldChar w:fldCharType="end"/>
    </w:r>
  </w:p>
  <w:p w:rsidR="006F36AD" w:rsidRDefault="006F36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B12" w:rsidRDefault="00341B12" w:rsidP="006F36AD">
      <w:pPr>
        <w:spacing w:after="0" w:line="240" w:lineRule="auto"/>
      </w:pPr>
      <w:r>
        <w:separator/>
      </w:r>
    </w:p>
  </w:footnote>
  <w:footnote w:type="continuationSeparator" w:id="1">
    <w:p w:rsidR="00341B12" w:rsidRDefault="00341B12" w:rsidP="006F3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B1494"/>
    <w:multiLevelType w:val="multilevel"/>
    <w:tmpl w:val="45D200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83798"/>
    <w:multiLevelType w:val="multilevel"/>
    <w:tmpl w:val="23060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D3FDE"/>
    <w:rsid w:val="00031639"/>
    <w:rsid w:val="00090ACF"/>
    <w:rsid w:val="000B7D86"/>
    <w:rsid w:val="000D571C"/>
    <w:rsid w:val="00101074"/>
    <w:rsid w:val="001606E7"/>
    <w:rsid w:val="001D336E"/>
    <w:rsid w:val="00214C8F"/>
    <w:rsid w:val="0021531C"/>
    <w:rsid w:val="00216B7C"/>
    <w:rsid w:val="00233AB0"/>
    <w:rsid w:val="0025406F"/>
    <w:rsid w:val="00294C0E"/>
    <w:rsid w:val="002A789D"/>
    <w:rsid w:val="002B0B60"/>
    <w:rsid w:val="002B4E7F"/>
    <w:rsid w:val="002C0B79"/>
    <w:rsid w:val="002C0C18"/>
    <w:rsid w:val="00337B69"/>
    <w:rsid w:val="00341B12"/>
    <w:rsid w:val="00342B25"/>
    <w:rsid w:val="00353578"/>
    <w:rsid w:val="003609EA"/>
    <w:rsid w:val="003816C6"/>
    <w:rsid w:val="0038784E"/>
    <w:rsid w:val="003902A2"/>
    <w:rsid w:val="003939ED"/>
    <w:rsid w:val="003E231C"/>
    <w:rsid w:val="003F08AB"/>
    <w:rsid w:val="00425CC0"/>
    <w:rsid w:val="00496A77"/>
    <w:rsid w:val="00497DCE"/>
    <w:rsid w:val="004D6560"/>
    <w:rsid w:val="005C6613"/>
    <w:rsid w:val="005D3772"/>
    <w:rsid w:val="005D6AEC"/>
    <w:rsid w:val="005F2FFE"/>
    <w:rsid w:val="00600DEA"/>
    <w:rsid w:val="006E0225"/>
    <w:rsid w:val="006F26C7"/>
    <w:rsid w:val="006F36AD"/>
    <w:rsid w:val="00716391"/>
    <w:rsid w:val="0073793F"/>
    <w:rsid w:val="007654C6"/>
    <w:rsid w:val="00790E4D"/>
    <w:rsid w:val="007E2839"/>
    <w:rsid w:val="007E2D05"/>
    <w:rsid w:val="008024D3"/>
    <w:rsid w:val="008159EB"/>
    <w:rsid w:val="00817FCF"/>
    <w:rsid w:val="00822E8B"/>
    <w:rsid w:val="008266B5"/>
    <w:rsid w:val="00840C07"/>
    <w:rsid w:val="008A3EAF"/>
    <w:rsid w:val="008B24BE"/>
    <w:rsid w:val="008B66C8"/>
    <w:rsid w:val="009562A4"/>
    <w:rsid w:val="0095633C"/>
    <w:rsid w:val="009734BE"/>
    <w:rsid w:val="009857E5"/>
    <w:rsid w:val="009970D1"/>
    <w:rsid w:val="009A1D52"/>
    <w:rsid w:val="009A221C"/>
    <w:rsid w:val="00A13F12"/>
    <w:rsid w:val="00A24DF2"/>
    <w:rsid w:val="00A278A3"/>
    <w:rsid w:val="00A75D43"/>
    <w:rsid w:val="00AE0ECB"/>
    <w:rsid w:val="00AF1587"/>
    <w:rsid w:val="00B51A1C"/>
    <w:rsid w:val="00BD3FDE"/>
    <w:rsid w:val="00BF0348"/>
    <w:rsid w:val="00C215DE"/>
    <w:rsid w:val="00CB7DEA"/>
    <w:rsid w:val="00D23DB4"/>
    <w:rsid w:val="00D25379"/>
    <w:rsid w:val="00E101FC"/>
    <w:rsid w:val="00E31FCD"/>
    <w:rsid w:val="00E70A5D"/>
    <w:rsid w:val="00E87A1A"/>
    <w:rsid w:val="00EA4319"/>
    <w:rsid w:val="00ED3617"/>
    <w:rsid w:val="00EE6BB5"/>
    <w:rsid w:val="00F14F57"/>
    <w:rsid w:val="00F6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BD3F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BD3F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BD3FDE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BD3F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rsid w:val="00BD3F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3"/>
    <w:rsid w:val="00BD3FDE"/>
    <w:pPr>
      <w:shd w:val="clear" w:color="auto" w:fill="FFFFFF"/>
      <w:spacing w:after="60" w:line="0" w:lineRule="atLeast"/>
      <w:ind w:hanging="720"/>
    </w:pPr>
    <w:rPr>
      <w:rFonts w:ascii="Times New Roman" w:eastAsia="Times New Roman" w:hAnsi="Times New Roman"/>
      <w:sz w:val="27"/>
      <w:szCs w:val="27"/>
      <w:lang/>
    </w:rPr>
  </w:style>
  <w:style w:type="paragraph" w:customStyle="1" w:styleId="20">
    <w:name w:val="Основной текст (2)"/>
    <w:basedOn w:val="a"/>
    <w:link w:val="2"/>
    <w:rsid w:val="00BD3FDE"/>
    <w:pPr>
      <w:shd w:val="clear" w:color="auto" w:fill="FFFFFF"/>
      <w:spacing w:before="720" w:after="300" w:line="322" w:lineRule="exact"/>
      <w:ind w:hanging="940"/>
      <w:jc w:val="center"/>
    </w:pPr>
    <w:rPr>
      <w:rFonts w:ascii="Times New Roman" w:eastAsia="Times New Roman" w:hAnsi="Times New Roman"/>
      <w:sz w:val="27"/>
      <w:szCs w:val="27"/>
      <w:lang/>
    </w:rPr>
  </w:style>
  <w:style w:type="paragraph" w:customStyle="1" w:styleId="10">
    <w:name w:val="Заголовок №1"/>
    <w:basedOn w:val="a"/>
    <w:link w:val="1"/>
    <w:rsid w:val="00BD3FDE"/>
    <w:pPr>
      <w:shd w:val="clear" w:color="auto" w:fill="FFFFFF"/>
      <w:spacing w:after="0" w:line="322" w:lineRule="exact"/>
      <w:ind w:hanging="780"/>
      <w:jc w:val="both"/>
      <w:outlineLvl w:val="0"/>
    </w:pPr>
    <w:rPr>
      <w:rFonts w:ascii="Times New Roman" w:eastAsia="Times New Roman" w:hAnsi="Times New Roman"/>
      <w:sz w:val="27"/>
      <w:szCs w:val="27"/>
      <w:lang/>
    </w:rPr>
  </w:style>
  <w:style w:type="paragraph" w:styleId="a5">
    <w:name w:val="List Paragraph"/>
    <w:basedOn w:val="a"/>
    <w:uiPriority w:val="34"/>
    <w:qFormat/>
    <w:rsid w:val="00BD3FDE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rsid w:val="001606E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rsid w:val="001606E7"/>
    <w:pPr>
      <w:shd w:val="clear" w:color="auto" w:fill="FFFFFF"/>
      <w:spacing w:after="0" w:line="0" w:lineRule="atLeast"/>
      <w:ind w:hanging="460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23">
    <w:name w:val="Заголовок №2"/>
    <w:basedOn w:val="a"/>
    <w:link w:val="22"/>
    <w:rsid w:val="001606E7"/>
    <w:pPr>
      <w:shd w:val="clear" w:color="auto" w:fill="FFFFFF"/>
      <w:spacing w:before="60" w:after="180" w:line="0" w:lineRule="atLeast"/>
      <w:ind w:firstLine="660"/>
      <w:jc w:val="both"/>
      <w:outlineLvl w:val="1"/>
    </w:pPr>
    <w:rPr>
      <w:rFonts w:ascii="Times New Roman" w:eastAsia="Times New Roman" w:hAnsi="Times New Roman"/>
      <w:sz w:val="23"/>
      <w:szCs w:val="23"/>
      <w:lang/>
    </w:rPr>
  </w:style>
  <w:style w:type="paragraph" w:styleId="a6">
    <w:name w:val="header"/>
    <w:basedOn w:val="a"/>
    <w:link w:val="a7"/>
    <w:uiPriority w:val="99"/>
    <w:unhideWhenUsed/>
    <w:rsid w:val="006F36A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6F36A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F36A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6F36A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A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78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EEB92-5381-4598-A81D-5FAA072C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</dc:creator>
  <cp:keywords/>
  <cp:lastModifiedBy>Admin</cp:lastModifiedBy>
  <cp:revision>2</cp:revision>
  <cp:lastPrinted>2017-07-26T05:51:00Z</cp:lastPrinted>
  <dcterms:created xsi:type="dcterms:W3CDTF">2017-11-23T04:21:00Z</dcterms:created>
  <dcterms:modified xsi:type="dcterms:W3CDTF">2017-11-23T04:21:00Z</dcterms:modified>
</cp:coreProperties>
</file>